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76B01" w14:textId="2261CF4E" w:rsidR="00C759F4" w:rsidRPr="002B00EA" w:rsidRDefault="00996F2A" w:rsidP="00996F2A">
      <w:pPr>
        <w:pBdr>
          <w:bottom w:val="single" w:sz="4" w:space="1" w:color="BFBFBF" w:themeColor="background1" w:themeShade="BF"/>
        </w:pBdr>
        <w:rPr>
          <w:b/>
          <w:bCs/>
          <w:color w:val="1F3864" w:themeColor="accent1" w:themeShade="80"/>
          <w:lang w:val="en-GB"/>
        </w:rPr>
      </w:pPr>
      <w:r w:rsidRPr="00D741BA">
        <w:rPr>
          <w:b/>
          <w:bCs/>
          <w:color w:val="1F3864" w:themeColor="accent1" w:themeShade="80"/>
          <w:lang w:val="en-US"/>
        </w:rPr>
        <w:t>A</w:t>
      </w:r>
      <w:r w:rsidRPr="002B00EA">
        <w:rPr>
          <w:b/>
          <w:bCs/>
          <w:color w:val="1F3864" w:themeColor="accent1" w:themeShade="80"/>
          <w:lang w:val="en-GB"/>
        </w:rPr>
        <w:t>N</w:t>
      </w:r>
      <w:r w:rsidR="002B00EA">
        <w:rPr>
          <w:b/>
          <w:bCs/>
          <w:color w:val="1F3864" w:themeColor="accent1" w:themeShade="80"/>
          <w:lang w:val="en-GB"/>
        </w:rPr>
        <w:t>NEX</w:t>
      </w:r>
      <w:r w:rsidR="00062040" w:rsidRPr="002B00EA">
        <w:rPr>
          <w:b/>
          <w:bCs/>
          <w:color w:val="1F3864" w:themeColor="accent1" w:themeShade="80"/>
          <w:lang w:val="en-GB"/>
        </w:rPr>
        <w:t xml:space="preserve"> 1</w:t>
      </w:r>
      <w:r w:rsidR="008E7615">
        <w:rPr>
          <w:b/>
          <w:bCs/>
          <w:color w:val="1F3864" w:themeColor="accent1" w:themeShade="80"/>
          <w:lang w:val="en-GB"/>
        </w:rPr>
        <w:t>2</w:t>
      </w:r>
      <w:r w:rsidRPr="002B00EA">
        <w:rPr>
          <w:b/>
          <w:bCs/>
          <w:color w:val="1F3864" w:themeColor="accent1" w:themeShade="80"/>
          <w:lang w:val="en-GB"/>
        </w:rPr>
        <w:t xml:space="preserve">– </w:t>
      </w:r>
      <w:bookmarkStart w:id="0" w:name="_Hlk95086280"/>
      <w:r w:rsidR="002C6045" w:rsidRPr="002B00EA">
        <w:rPr>
          <w:b/>
          <w:bCs/>
          <w:color w:val="1F3864" w:themeColor="accent1" w:themeShade="80"/>
          <w:lang w:val="en-GB"/>
        </w:rPr>
        <w:t>GOOD PRACTICES AND LESSONS LEARNED</w:t>
      </w:r>
      <w:r w:rsidRPr="002B00EA">
        <w:rPr>
          <w:b/>
          <w:bCs/>
          <w:color w:val="1F3864" w:themeColor="accent1" w:themeShade="80"/>
          <w:lang w:val="en-GB"/>
        </w:rPr>
        <w:t xml:space="preserve"> </w:t>
      </w:r>
      <w:r w:rsidR="007E27BA" w:rsidRPr="002B00EA">
        <w:rPr>
          <w:b/>
          <w:bCs/>
          <w:color w:val="1F3864" w:themeColor="accent1" w:themeShade="80"/>
          <w:lang w:val="en-GB"/>
        </w:rPr>
        <w:t>(</w:t>
      </w:r>
      <w:r w:rsidR="002C6045" w:rsidRPr="002B00EA">
        <w:rPr>
          <w:b/>
          <w:bCs/>
          <w:color w:val="1F3864" w:themeColor="accent1" w:themeShade="80"/>
          <w:lang w:val="en-GB"/>
        </w:rPr>
        <w:t>PROTECTION RESPONSE AND LIP</w:t>
      </w:r>
      <w:r w:rsidR="007E27BA" w:rsidRPr="002B00EA">
        <w:rPr>
          <w:b/>
          <w:bCs/>
          <w:color w:val="1F3864" w:themeColor="accent1" w:themeShade="80"/>
          <w:lang w:val="en-GB"/>
        </w:rPr>
        <w:t>)</w:t>
      </w:r>
      <w:bookmarkEnd w:id="0"/>
    </w:p>
    <w:p w14:paraId="2C23A4A4" w14:textId="0945E495" w:rsidR="00996F2A" w:rsidRPr="002B00EA" w:rsidRDefault="00996F2A">
      <w:pPr>
        <w:rPr>
          <w:lang w:val="en-GB"/>
        </w:rPr>
      </w:pPr>
    </w:p>
    <w:p w14:paraId="62EE1032" w14:textId="19FB6D03" w:rsidR="007E27BA" w:rsidRPr="002B00EA" w:rsidRDefault="00D8110B" w:rsidP="007E27BA">
      <w:pPr>
        <w:contextualSpacing/>
        <w:jc w:val="both"/>
        <w:rPr>
          <w:b/>
          <w:bCs/>
          <w:sz w:val="20"/>
          <w:szCs w:val="20"/>
          <w:lang w:val="en-GB"/>
        </w:rPr>
      </w:pPr>
      <w:r w:rsidRPr="002B00EA">
        <w:rPr>
          <w:b/>
          <w:bCs/>
          <w:sz w:val="20"/>
          <w:szCs w:val="20"/>
          <w:lang w:val="en-GB"/>
        </w:rPr>
        <w:t>GOOD PRACTICES IN PROTECTION RESPONSE</w:t>
      </w:r>
      <w:r w:rsidR="007E27BA" w:rsidRPr="002B00EA">
        <w:rPr>
          <w:b/>
          <w:bCs/>
          <w:sz w:val="20"/>
          <w:szCs w:val="20"/>
          <w:lang w:val="en-GB"/>
        </w:rPr>
        <w:t>.</w:t>
      </w:r>
    </w:p>
    <w:p w14:paraId="6B341A5C" w14:textId="5D80823A" w:rsidR="00D8110B" w:rsidRPr="002B00EA" w:rsidRDefault="00D8110B" w:rsidP="00D8110B">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sidRPr="002B00EA">
        <w:rPr>
          <w:rFonts w:ascii="Calibri Light" w:hAnsi="Calibri Light" w:cs="Calibri Light"/>
          <w:sz w:val="20"/>
          <w:szCs w:val="20"/>
        </w:rPr>
        <w:t>Importance of granting complementary protection to asylum seekers whose refugee status is not recognised</w:t>
      </w:r>
      <w:r w:rsidRPr="002B00EA">
        <w:rPr>
          <w:rFonts w:ascii="Calibri Light" w:hAnsi="Calibri Light" w:cs="Calibri Light"/>
          <w:sz w:val="20"/>
          <w:szCs w:val="20"/>
          <w:vertAlign w:val="superscript"/>
        </w:rPr>
        <w:footnoteReference w:id="1"/>
      </w:r>
      <w:r w:rsidRPr="002B00EA">
        <w:rPr>
          <w:rFonts w:ascii="Calibri Light" w:hAnsi="Calibri Light" w:cs="Calibri Light"/>
          <w:sz w:val="20"/>
          <w:szCs w:val="20"/>
        </w:rPr>
        <w:t>.</w:t>
      </w:r>
    </w:p>
    <w:p w14:paraId="48E43BA0" w14:textId="38A45339" w:rsidR="00D8110B" w:rsidRPr="002B00EA" w:rsidRDefault="00D8110B" w:rsidP="00D8110B">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sidRPr="002B00EA">
        <w:rPr>
          <w:rFonts w:ascii="Calibri Light" w:hAnsi="Calibri Light" w:cs="Calibri Light"/>
          <w:sz w:val="20"/>
          <w:szCs w:val="20"/>
        </w:rPr>
        <w:t>Identification of different scenarios in registration, based on the situation and contexts of origin, and on that basis</w:t>
      </w:r>
      <w:r w:rsidR="003A7271">
        <w:rPr>
          <w:rFonts w:ascii="Calibri Light" w:hAnsi="Calibri Light" w:cs="Calibri Light"/>
          <w:sz w:val="20"/>
          <w:szCs w:val="20"/>
        </w:rPr>
        <w:t>,</w:t>
      </w:r>
      <w:r w:rsidRPr="002B00EA">
        <w:rPr>
          <w:rFonts w:ascii="Calibri Light" w:hAnsi="Calibri Light" w:cs="Calibri Light"/>
          <w:sz w:val="20"/>
          <w:szCs w:val="20"/>
        </w:rPr>
        <w:t xml:space="preserve"> </w:t>
      </w:r>
      <w:r w:rsidR="00440C6F">
        <w:rPr>
          <w:rFonts w:ascii="Calibri Light" w:hAnsi="Calibri Light" w:cs="Calibri Light"/>
          <w:sz w:val="20"/>
          <w:szCs w:val="20"/>
        </w:rPr>
        <w:t xml:space="preserve">differentiated application processes </w:t>
      </w:r>
      <w:r w:rsidRPr="002B00EA">
        <w:rPr>
          <w:rFonts w:ascii="Calibri Light" w:hAnsi="Calibri Light" w:cs="Calibri Light"/>
          <w:sz w:val="20"/>
          <w:szCs w:val="20"/>
        </w:rPr>
        <w:t xml:space="preserve">were implemented (simplified, merged, accelerated procedures). </w:t>
      </w:r>
    </w:p>
    <w:p w14:paraId="76D03ADE" w14:textId="77777777" w:rsidR="00D8110B" w:rsidRPr="002B00EA" w:rsidRDefault="00D8110B" w:rsidP="00D8110B">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sidRPr="002B00EA">
        <w:rPr>
          <w:rFonts w:ascii="Calibri Light" w:hAnsi="Calibri Light" w:cs="Calibri Light"/>
          <w:sz w:val="20"/>
          <w:szCs w:val="20"/>
        </w:rPr>
        <w:t>Introduction of the Quality Assurance Initiative (QAI) as it has driven reviews and monitoring of RSD decisions to ensure the quality of processes.</w:t>
      </w:r>
    </w:p>
    <w:p w14:paraId="2D6F5D5F" w14:textId="77777777" w:rsidR="00D8110B" w:rsidRPr="002B00EA" w:rsidRDefault="00D8110B" w:rsidP="00D8110B">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sidRPr="002B00EA">
        <w:rPr>
          <w:rFonts w:ascii="Calibri Light" w:hAnsi="Calibri Light" w:cs="Calibri Light"/>
          <w:sz w:val="20"/>
          <w:szCs w:val="20"/>
        </w:rPr>
        <w:t>Creation of an ecosystem of actors to respond to protection and humanitarian assistance needs in partnership with civil society and other stakeholders.</w:t>
      </w:r>
    </w:p>
    <w:p w14:paraId="245DCFC5" w14:textId="13197BAA" w:rsidR="00D8110B" w:rsidRPr="002B00EA" w:rsidRDefault="00440C6F" w:rsidP="00D8110B">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Pr>
          <w:rFonts w:ascii="Calibri Light" w:hAnsi="Calibri Light" w:cs="Calibri Light"/>
          <w:sz w:val="20"/>
          <w:szCs w:val="20"/>
        </w:rPr>
        <w:t xml:space="preserve">Establishment of </w:t>
      </w:r>
      <w:r w:rsidR="00D8110B" w:rsidRPr="002B00EA">
        <w:rPr>
          <w:rFonts w:ascii="Calibri Light" w:hAnsi="Calibri Light" w:cs="Calibri Light"/>
          <w:sz w:val="20"/>
          <w:szCs w:val="20"/>
        </w:rPr>
        <w:t xml:space="preserve">a network of paralegals to provide information and legal assistance to people on the move so that they can make informed decisions. </w:t>
      </w:r>
    </w:p>
    <w:p w14:paraId="3DF86C44" w14:textId="53A9E6F3" w:rsidR="00D8110B" w:rsidRPr="002B00EA" w:rsidRDefault="00D8110B" w:rsidP="00D8110B">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sidRPr="002B00EA">
        <w:rPr>
          <w:rFonts w:ascii="Calibri Light" w:hAnsi="Calibri Light" w:cs="Calibri Light"/>
          <w:sz w:val="20"/>
          <w:szCs w:val="20"/>
        </w:rPr>
        <w:t>Design of a shelter strategy with a protection focus: the</w:t>
      </w:r>
      <w:r w:rsidR="002834B7">
        <w:rPr>
          <w:rFonts w:ascii="Calibri Light" w:hAnsi="Calibri Light" w:cs="Calibri Light"/>
          <w:sz w:val="20"/>
          <w:szCs w:val="20"/>
        </w:rPr>
        <w:t xml:space="preserve"> </w:t>
      </w:r>
      <w:r w:rsidR="002834B7" w:rsidRPr="002B00EA">
        <w:rPr>
          <w:rFonts w:ascii="Calibri Light" w:hAnsi="Calibri Light" w:cs="Calibri Light"/>
          <w:sz w:val="20"/>
          <w:szCs w:val="20"/>
        </w:rPr>
        <w:t>2019-2022</w:t>
      </w:r>
      <w:r w:rsidRPr="002B00EA">
        <w:rPr>
          <w:rFonts w:ascii="Calibri Light" w:hAnsi="Calibri Light" w:cs="Calibri Light"/>
          <w:sz w:val="20"/>
          <w:szCs w:val="20"/>
        </w:rPr>
        <w:t xml:space="preserve"> shelter strategy aims to strengthen protection issues, networking, contingency preparedness, etc.</w:t>
      </w:r>
    </w:p>
    <w:p w14:paraId="7E5E5347" w14:textId="77777777" w:rsidR="00D8110B" w:rsidRPr="002B00EA" w:rsidRDefault="00D8110B" w:rsidP="00D8110B">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sidRPr="002B00EA">
        <w:rPr>
          <w:rFonts w:ascii="Calibri Light" w:hAnsi="Calibri Light" w:cs="Calibri Light"/>
          <w:sz w:val="20"/>
          <w:szCs w:val="20"/>
        </w:rPr>
        <w:t xml:space="preserve">Implementation of the "Alternatives to Detention Programme": important to combat detention standards contrary to international standards, especially with regard to juvenile detainees. </w:t>
      </w:r>
    </w:p>
    <w:p w14:paraId="03ADBE30" w14:textId="77777777" w:rsidR="00D8110B" w:rsidRPr="002B00EA" w:rsidRDefault="00D8110B" w:rsidP="00D8110B">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sidRPr="002B00EA">
        <w:rPr>
          <w:rFonts w:ascii="Calibri Light" w:hAnsi="Calibri Light" w:cs="Calibri Light"/>
          <w:sz w:val="20"/>
          <w:szCs w:val="20"/>
        </w:rPr>
        <w:t>Participation in the Commission for the Comprehensive Protection of Migrant and Refugee Children and Adolescents. Direct work with local prosecutors' offices in cases of children and adolescents and legal assistance to asylum-seeking and refugee children.</w:t>
      </w:r>
    </w:p>
    <w:p w14:paraId="3B65E06D" w14:textId="380DC8FA" w:rsidR="00D8110B" w:rsidRPr="002B00EA" w:rsidRDefault="00DD4522" w:rsidP="00D8110B">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Pr>
          <w:rFonts w:ascii="Calibri Light" w:hAnsi="Calibri Light" w:cs="Calibri Light"/>
          <w:sz w:val="20"/>
          <w:szCs w:val="20"/>
        </w:rPr>
        <w:t xml:space="preserve">Completion of </w:t>
      </w:r>
      <w:r w:rsidR="00D8110B" w:rsidRPr="002B00EA">
        <w:rPr>
          <w:rFonts w:ascii="Calibri Light" w:hAnsi="Calibri Light" w:cs="Calibri Light"/>
          <w:sz w:val="20"/>
          <w:szCs w:val="20"/>
        </w:rPr>
        <w:t xml:space="preserve">participatory assessments with people on the move and host communities to better understand their needs, </w:t>
      </w:r>
      <w:proofErr w:type="gramStart"/>
      <w:r w:rsidR="00D8110B" w:rsidRPr="002B00EA">
        <w:rPr>
          <w:rFonts w:ascii="Calibri Light" w:hAnsi="Calibri Light" w:cs="Calibri Light"/>
          <w:sz w:val="20"/>
          <w:szCs w:val="20"/>
        </w:rPr>
        <w:t>views</w:t>
      </w:r>
      <w:proofErr w:type="gramEnd"/>
      <w:r w:rsidR="00D8110B" w:rsidRPr="002B00EA">
        <w:rPr>
          <w:rFonts w:ascii="Calibri Light" w:hAnsi="Calibri Light" w:cs="Calibri Light"/>
          <w:sz w:val="20"/>
          <w:szCs w:val="20"/>
        </w:rPr>
        <w:t xml:space="preserve"> and design joint action plans.  </w:t>
      </w:r>
    </w:p>
    <w:p w14:paraId="5101F1E7" w14:textId="52AA08CD" w:rsidR="00D8110B" w:rsidRPr="002B00EA" w:rsidRDefault="00D8110B" w:rsidP="007E27BA">
      <w:pPr>
        <w:rPr>
          <w:sz w:val="20"/>
          <w:szCs w:val="20"/>
          <w:lang w:val="en-GB"/>
        </w:rPr>
      </w:pPr>
    </w:p>
    <w:p w14:paraId="6020912A" w14:textId="2B71B8CB" w:rsidR="00D8110B" w:rsidRPr="002B00EA" w:rsidRDefault="00D8110B" w:rsidP="00D8110B">
      <w:pPr>
        <w:jc w:val="both"/>
        <w:rPr>
          <w:b/>
          <w:bCs/>
          <w:sz w:val="20"/>
          <w:szCs w:val="20"/>
          <w:lang w:val="en-GB"/>
        </w:rPr>
      </w:pPr>
      <w:r w:rsidRPr="002B00EA">
        <w:rPr>
          <w:b/>
          <w:bCs/>
          <w:sz w:val="20"/>
          <w:szCs w:val="20"/>
          <w:lang w:val="en-GB"/>
        </w:rPr>
        <w:t>GOOD PRACTICES IN LIP</w:t>
      </w:r>
    </w:p>
    <w:p w14:paraId="101BEB3F" w14:textId="6D40482C" w:rsidR="0028031B" w:rsidRPr="002B00EA" w:rsidRDefault="0028031B" w:rsidP="0028031B">
      <w:pPr>
        <w:rPr>
          <w:sz w:val="20"/>
          <w:szCs w:val="20"/>
          <w:lang w:val="en-GB"/>
        </w:rPr>
      </w:pPr>
      <w:r w:rsidRPr="002B00EA">
        <w:rPr>
          <w:sz w:val="20"/>
          <w:szCs w:val="20"/>
          <w:lang w:val="en-GB"/>
        </w:rPr>
        <w:t xml:space="preserve">The LIP programme, although in an evolutive phase, offers elements that have been identified as practices that can strengthen </w:t>
      </w:r>
      <w:r w:rsidR="00DD4522">
        <w:rPr>
          <w:sz w:val="20"/>
          <w:szCs w:val="20"/>
          <w:lang w:val="en-GB"/>
        </w:rPr>
        <w:t xml:space="preserve">an </w:t>
      </w:r>
      <w:r w:rsidRPr="002B00EA">
        <w:rPr>
          <w:sz w:val="20"/>
          <w:szCs w:val="20"/>
          <w:lang w:val="en-GB"/>
        </w:rPr>
        <w:t xml:space="preserve">enabling environment for integration, be useful for local teams and </w:t>
      </w:r>
      <w:r w:rsidR="00DD4522">
        <w:rPr>
          <w:sz w:val="20"/>
          <w:szCs w:val="20"/>
          <w:lang w:val="en-GB"/>
        </w:rPr>
        <w:t xml:space="preserve">for </w:t>
      </w:r>
      <w:r w:rsidRPr="002B00EA">
        <w:rPr>
          <w:sz w:val="20"/>
          <w:szCs w:val="20"/>
          <w:lang w:val="en-GB"/>
        </w:rPr>
        <w:t>promot</w:t>
      </w:r>
      <w:r w:rsidR="00DD4522">
        <w:rPr>
          <w:sz w:val="20"/>
          <w:szCs w:val="20"/>
          <w:lang w:val="en-GB"/>
        </w:rPr>
        <w:t>ing</w:t>
      </w:r>
      <w:r w:rsidRPr="002B00EA">
        <w:rPr>
          <w:sz w:val="20"/>
          <w:szCs w:val="20"/>
          <w:lang w:val="en-GB"/>
        </w:rPr>
        <w:t xml:space="preserve"> the involvement of other relevant actors.</w:t>
      </w:r>
    </w:p>
    <w:p w14:paraId="1A1C7CC5" w14:textId="413406AD" w:rsidR="0028031B" w:rsidRPr="002B00EA" w:rsidRDefault="0028031B" w:rsidP="0028031B">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sidRPr="002B00EA">
        <w:rPr>
          <w:rFonts w:ascii="Calibri Light" w:hAnsi="Calibri Light" w:cs="Calibri Light"/>
          <w:sz w:val="20"/>
          <w:szCs w:val="20"/>
        </w:rPr>
        <w:t>Conduct community assessments and mapping of key actors relevant to the integration response that serve as tools to build accompaniment protocols adapted to each local context.</w:t>
      </w:r>
    </w:p>
    <w:p w14:paraId="51EB63D6" w14:textId="0CF7FE10" w:rsidR="0028031B" w:rsidRPr="002B00EA" w:rsidRDefault="0028031B" w:rsidP="0028031B">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sidRPr="002B00EA">
        <w:rPr>
          <w:rFonts w:ascii="Calibri Light" w:hAnsi="Calibri Light" w:cs="Calibri Light"/>
          <w:sz w:val="20"/>
          <w:szCs w:val="20"/>
        </w:rPr>
        <w:t xml:space="preserve">Allow sufficient time for the establishment of accompaniment protocols prior to the relocation of PoC. Even with the challenges posed by COVID-19, the interruption that </w:t>
      </w:r>
      <w:r w:rsidR="003368DC" w:rsidRPr="002B00EA">
        <w:rPr>
          <w:rFonts w:ascii="Calibri Light" w:hAnsi="Calibri Light" w:cs="Calibri Light"/>
          <w:sz w:val="20"/>
          <w:szCs w:val="20"/>
        </w:rPr>
        <w:t>LIP experienced</w:t>
      </w:r>
      <w:r w:rsidR="00A0329B">
        <w:rPr>
          <w:rFonts w:ascii="Calibri Light" w:hAnsi="Calibri Light" w:cs="Calibri Light"/>
          <w:sz w:val="20"/>
          <w:szCs w:val="20"/>
        </w:rPr>
        <w:t xml:space="preserve"> </w:t>
      </w:r>
      <w:r w:rsidRPr="002B00EA">
        <w:rPr>
          <w:rFonts w:ascii="Calibri Light" w:hAnsi="Calibri Light" w:cs="Calibri Light"/>
          <w:sz w:val="20"/>
          <w:szCs w:val="20"/>
        </w:rPr>
        <w:t xml:space="preserve">during COVID-19 provided an opportunity for localities that had not started the programme to better </w:t>
      </w:r>
      <w:proofErr w:type="gramStart"/>
      <w:r w:rsidRPr="002B00EA">
        <w:rPr>
          <w:rFonts w:ascii="Calibri Light" w:hAnsi="Calibri Light" w:cs="Calibri Light"/>
          <w:sz w:val="20"/>
          <w:szCs w:val="20"/>
        </w:rPr>
        <w:t xml:space="preserve">plan </w:t>
      </w:r>
      <w:r w:rsidR="00A0329B">
        <w:rPr>
          <w:rFonts w:ascii="Calibri Light" w:hAnsi="Calibri Light" w:cs="Calibri Light"/>
          <w:sz w:val="20"/>
          <w:szCs w:val="20"/>
        </w:rPr>
        <w:t xml:space="preserve"> their</w:t>
      </w:r>
      <w:proofErr w:type="gramEnd"/>
      <w:r w:rsidRPr="002B00EA">
        <w:rPr>
          <w:rFonts w:ascii="Calibri Light" w:hAnsi="Calibri Light" w:cs="Calibri Light"/>
          <w:sz w:val="20"/>
          <w:szCs w:val="20"/>
        </w:rPr>
        <w:t xml:space="preserve"> operation.</w:t>
      </w:r>
    </w:p>
    <w:p w14:paraId="4E61F384" w14:textId="1192C38B" w:rsidR="0028031B" w:rsidRPr="002B00EA" w:rsidRDefault="0028031B" w:rsidP="0028031B">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sidRPr="002B00EA">
        <w:rPr>
          <w:rFonts w:ascii="Calibri Light" w:hAnsi="Calibri Light" w:cs="Calibri Light"/>
          <w:sz w:val="20"/>
          <w:szCs w:val="20"/>
        </w:rPr>
        <w:t>Identify partners specialising in protection needs that fill gaps in care (</w:t>
      </w:r>
      <w:proofErr w:type="gramStart"/>
      <w:r w:rsidRPr="002B00EA">
        <w:rPr>
          <w:rFonts w:ascii="Calibri Light" w:hAnsi="Calibri Light" w:cs="Calibri Light"/>
          <w:sz w:val="20"/>
          <w:szCs w:val="20"/>
        </w:rPr>
        <w:t>e.g.</w:t>
      </w:r>
      <w:proofErr w:type="gramEnd"/>
      <w:r w:rsidRPr="002B00EA">
        <w:rPr>
          <w:rFonts w:ascii="Calibri Light" w:hAnsi="Calibri Light" w:cs="Calibri Light"/>
          <w:sz w:val="20"/>
          <w:szCs w:val="20"/>
        </w:rPr>
        <w:t xml:space="preserve"> people with disabilities) or with broader geographic coverage. There have been cases where partners </w:t>
      </w:r>
      <w:r w:rsidR="00C67622">
        <w:rPr>
          <w:rFonts w:ascii="Calibri Light" w:hAnsi="Calibri Light" w:cs="Calibri Light"/>
          <w:sz w:val="20"/>
          <w:szCs w:val="20"/>
        </w:rPr>
        <w:t>who</w:t>
      </w:r>
      <w:r w:rsidR="00A0329B">
        <w:rPr>
          <w:rFonts w:ascii="Calibri Light" w:hAnsi="Calibri Light" w:cs="Calibri Light"/>
          <w:sz w:val="20"/>
          <w:szCs w:val="20"/>
        </w:rPr>
        <w:t xml:space="preserve"> had not </w:t>
      </w:r>
      <w:r w:rsidR="003368DC">
        <w:rPr>
          <w:rFonts w:ascii="Calibri Light" w:hAnsi="Calibri Light" w:cs="Calibri Light"/>
          <w:sz w:val="20"/>
          <w:szCs w:val="20"/>
        </w:rPr>
        <w:t>included persons</w:t>
      </w:r>
      <w:r w:rsidRPr="002B00EA">
        <w:rPr>
          <w:rFonts w:ascii="Calibri Light" w:hAnsi="Calibri Light" w:cs="Calibri Light"/>
          <w:sz w:val="20"/>
          <w:szCs w:val="20"/>
        </w:rPr>
        <w:t xml:space="preserve"> with international protection needs within their target population but</w:t>
      </w:r>
      <w:r w:rsidR="00C67622">
        <w:rPr>
          <w:rFonts w:ascii="Calibri Light" w:hAnsi="Calibri Light" w:cs="Calibri Light"/>
          <w:sz w:val="20"/>
          <w:szCs w:val="20"/>
        </w:rPr>
        <w:t>,</w:t>
      </w:r>
      <w:r w:rsidRPr="002B00EA">
        <w:rPr>
          <w:rFonts w:ascii="Calibri Light" w:hAnsi="Calibri Light" w:cs="Calibri Light"/>
          <w:sz w:val="20"/>
          <w:szCs w:val="20"/>
        </w:rPr>
        <w:t xml:space="preserve"> with UNHCR's support</w:t>
      </w:r>
      <w:r w:rsidR="00C67622">
        <w:rPr>
          <w:rFonts w:ascii="Calibri Light" w:hAnsi="Calibri Light" w:cs="Calibri Light"/>
          <w:sz w:val="20"/>
          <w:szCs w:val="20"/>
        </w:rPr>
        <w:t>,</w:t>
      </w:r>
      <w:r w:rsidRPr="002B00EA">
        <w:rPr>
          <w:rFonts w:ascii="Calibri Light" w:hAnsi="Calibri Light" w:cs="Calibri Light"/>
          <w:sz w:val="20"/>
          <w:szCs w:val="20"/>
        </w:rPr>
        <w:t xml:space="preserve"> </w:t>
      </w:r>
      <w:r w:rsidR="00C67622">
        <w:rPr>
          <w:rFonts w:ascii="Calibri Light" w:hAnsi="Calibri Light" w:cs="Calibri Light"/>
          <w:sz w:val="20"/>
          <w:szCs w:val="20"/>
        </w:rPr>
        <w:t xml:space="preserve">they </w:t>
      </w:r>
      <w:r w:rsidRPr="002B00EA">
        <w:rPr>
          <w:rFonts w:ascii="Calibri Light" w:hAnsi="Calibri Light" w:cs="Calibri Light"/>
          <w:sz w:val="20"/>
          <w:szCs w:val="20"/>
        </w:rPr>
        <w:t>had positive experiences</w:t>
      </w:r>
      <w:r w:rsidR="00C67622">
        <w:rPr>
          <w:rFonts w:ascii="Calibri Light" w:hAnsi="Calibri Light" w:cs="Calibri Light"/>
          <w:sz w:val="20"/>
          <w:szCs w:val="20"/>
        </w:rPr>
        <w:t xml:space="preserve"> with an expansion of their services</w:t>
      </w:r>
      <w:r w:rsidRPr="002B00EA">
        <w:rPr>
          <w:rFonts w:ascii="Calibri Light" w:hAnsi="Calibri Light" w:cs="Calibri Light"/>
          <w:sz w:val="20"/>
          <w:szCs w:val="20"/>
        </w:rPr>
        <w:t xml:space="preserve"> (</w:t>
      </w:r>
      <w:proofErr w:type="gramStart"/>
      <w:r w:rsidRPr="002B00EA">
        <w:rPr>
          <w:rFonts w:ascii="Calibri Light" w:hAnsi="Calibri Light" w:cs="Calibri Light"/>
          <w:sz w:val="20"/>
          <w:szCs w:val="20"/>
        </w:rPr>
        <w:t>e.g.</w:t>
      </w:r>
      <w:proofErr w:type="gramEnd"/>
      <w:r w:rsidRPr="002B00EA">
        <w:rPr>
          <w:rFonts w:ascii="Calibri Light" w:hAnsi="Calibri Light" w:cs="Calibri Light"/>
          <w:sz w:val="20"/>
          <w:szCs w:val="20"/>
        </w:rPr>
        <w:t xml:space="preserve"> Alternativas Pacíficas in Monterrey and Matamoros with women victims of violence).</w:t>
      </w:r>
    </w:p>
    <w:p w14:paraId="1EC7E293" w14:textId="2D8D3320" w:rsidR="0028031B" w:rsidRPr="002B00EA" w:rsidRDefault="0028031B" w:rsidP="0028031B">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sidRPr="002B00EA">
        <w:rPr>
          <w:rFonts w:ascii="Calibri Light" w:hAnsi="Calibri Light" w:cs="Calibri Light"/>
          <w:sz w:val="20"/>
          <w:szCs w:val="20"/>
        </w:rPr>
        <w:lastRenderedPageBreak/>
        <w:t xml:space="preserve">Adopt strategies to </w:t>
      </w:r>
      <w:r w:rsidR="00C67622">
        <w:rPr>
          <w:rFonts w:ascii="Calibri Light" w:hAnsi="Calibri Light" w:cs="Calibri Light"/>
          <w:sz w:val="20"/>
          <w:szCs w:val="20"/>
        </w:rPr>
        <w:t xml:space="preserve">increase </w:t>
      </w:r>
      <w:r w:rsidRPr="002B00EA">
        <w:rPr>
          <w:rFonts w:ascii="Calibri Light" w:hAnsi="Calibri Light" w:cs="Calibri Light"/>
          <w:sz w:val="20"/>
          <w:szCs w:val="20"/>
        </w:rPr>
        <w:t>visibility to and raise awareness among host communities about refugees and asylum seekers allows for the creation of openness with key actors, particularly with government authorities.</w:t>
      </w:r>
    </w:p>
    <w:p w14:paraId="754BF026" w14:textId="50129CA6" w:rsidR="0028031B" w:rsidRPr="002B00EA" w:rsidRDefault="0028031B" w:rsidP="0028031B">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sidRPr="002B00EA">
        <w:rPr>
          <w:rFonts w:ascii="Calibri Light" w:hAnsi="Calibri Light" w:cs="Calibri Light"/>
          <w:sz w:val="20"/>
          <w:szCs w:val="20"/>
        </w:rPr>
        <w:t xml:space="preserve">Seek strategies to institutionalise integration with a medium-term perspective, such as: inter-institutional and multi-level framework agreements, including the Ministry of the Interior and municipalities (Guadalajara case); agreements with areas with competencies in the promotion of human rights </w:t>
      </w:r>
      <w:r w:rsidR="00C67622">
        <w:rPr>
          <w:rFonts w:ascii="Calibri Light" w:hAnsi="Calibri Light" w:cs="Calibri Light"/>
          <w:sz w:val="20"/>
          <w:szCs w:val="20"/>
        </w:rPr>
        <w:t>f</w:t>
      </w:r>
      <w:r w:rsidRPr="002B00EA">
        <w:rPr>
          <w:rFonts w:ascii="Calibri Light" w:hAnsi="Calibri Light" w:cs="Calibri Light"/>
          <w:sz w:val="20"/>
          <w:szCs w:val="20"/>
        </w:rPr>
        <w:t>or people on the move (Guanajuato case); inclusion in cross-cutting government programmes on human rights (Saltillo case).</w:t>
      </w:r>
    </w:p>
    <w:p w14:paraId="7D48DE55" w14:textId="000C607A" w:rsidR="0028031B" w:rsidRPr="002B00EA" w:rsidRDefault="0028031B" w:rsidP="0028031B">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sidRPr="002B00EA">
        <w:rPr>
          <w:rFonts w:ascii="Calibri Light" w:hAnsi="Calibri Light" w:cs="Calibri Light"/>
          <w:sz w:val="20"/>
          <w:szCs w:val="20"/>
        </w:rPr>
        <w:t>Capitalis</w:t>
      </w:r>
      <w:r w:rsidR="003A7271">
        <w:rPr>
          <w:rFonts w:ascii="Calibri Light" w:hAnsi="Calibri Light" w:cs="Calibri Light"/>
          <w:sz w:val="20"/>
          <w:szCs w:val="20"/>
        </w:rPr>
        <w:t>e</w:t>
      </w:r>
      <w:r w:rsidRPr="002B00EA">
        <w:rPr>
          <w:rFonts w:ascii="Calibri Light" w:hAnsi="Calibri Light" w:cs="Calibri Light"/>
          <w:sz w:val="20"/>
          <w:szCs w:val="20"/>
        </w:rPr>
        <w:t xml:space="preserve"> on and making visible the agreements and achievements in labour inclusion reached with medium</w:t>
      </w:r>
      <w:r w:rsidR="003420C9">
        <w:rPr>
          <w:rFonts w:ascii="Calibri Light" w:hAnsi="Calibri Light" w:cs="Calibri Light"/>
          <w:sz w:val="20"/>
          <w:szCs w:val="20"/>
        </w:rPr>
        <w:t>-sized</w:t>
      </w:r>
      <w:r w:rsidRPr="002B00EA">
        <w:rPr>
          <w:rFonts w:ascii="Calibri Light" w:hAnsi="Calibri Light" w:cs="Calibri Light"/>
          <w:sz w:val="20"/>
          <w:szCs w:val="20"/>
        </w:rPr>
        <w:t xml:space="preserve"> and large companies (</w:t>
      </w:r>
      <w:proofErr w:type="gramStart"/>
      <w:r w:rsidRPr="002B00EA">
        <w:rPr>
          <w:rFonts w:ascii="Calibri Light" w:hAnsi="Calibri Light" w:cs="Calibri Light"/>
          <w:sz w:val="20"/>
          <w:szCs w:val="20"/>
        </w:rPr>
        <w:t>e.g.</w:t>
      </w:r>
      <w:proofErr w:type="gramEnd"/>
      <w:r w:rsidRPr="002B00EA">
        <w:rPr>
          <w:rFonts w:ascii="Calibri Light" w:hAnsi="Calibri Light" w:cs="Calibri Light"/>
          <w:sz w:val="20"/>
          <w:szCs w:val="20"/>
        </w:rPr>
        <w:t xml:space="preserve"> with national presence, positive brand image, visibility) generates and attracts interest from other companies and leverage opportunities in other key areas for integration (e.g. acceptance of refugee status documentation for opening bank accounts, involvement of employment and vocational training authorities).</w:t>
      </w:r>
    </w:p>
    <w:p w14:paraId="667348D7" w14:textId="77777777" w:rsidR="007E27BA" w:rsidRPr="002B00EA" w:rsidRDefault="007E27BA" w:rsidP="0028031B">
      <w:pPr>
        <w:pStyle w:val="NormalWeb"/>
        <w:shd w:val="clear" w:color="auto" w:fill="FFFFFF" w:themeFill="background1"/>
        <w:spacing w:before="0" w:beforeAutospacing="0" w:after="120" w:afterAutospacing="0"/>
        <w:jc w:val="both"/>
        <w:rPr>
          <w:rFonts w:ascii="Calibri Light" w:hAnsi="Calibri Light" w:cs="Calibri Light"/>
          <w:sz w:val="20"/>
          <w:szCs w:val="20"/>
        </w:rPr>
      </w:pPr>
    </w:p>
    <w:p w14:paraId="0EDC5394" w14:textId="1A5CEE4F" w:rsidR="00996F2A" w:rsidRPr="002B00EA" w:rsidRDefault="00D8110B" w:rsidP="00996F2A">
      <w:pPr>
        <w:jc w:val="both"/>
        <w:rPr>
          <w:b/>
          <w:bCs/>
          <w:sz w:val="20"/>
          <w:szCs w:val="20"/>
          <w:lang w:val="en-GB"/>
        </w:rPr>
      </w:pPr>
      <w:r w:rsidRPr="002B00EA">
        <w:rPr>
          <w:b/>
          <w:bCs/>
          <w:sz w:val="20"/>
          <w:szCs w:val="20"/>
          <w:lang w:val="en-GB"/>
        </w:rPr>
        <w:t>LESSONS LEARNED IN LIP</w:t>
      </w:r>
    </w:p>
    <w:p w14:paraId="425058CD" w14:textId="1CEA8636" w:rsidR="002C39F4" w:rsidRPr="002B00EA" w:rsidRDefault="002C39F4" w:rsidP="002C39F4">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sidRPr="002B00EA">
        <w:rPr>
          <w:rFonts w:ascii="Calibri Light" w:hAnsi="Calibri Light" w:cs="Calibri Light"/>
          <w:sz w:val="20"/>
          <w:szCs w:val="20"/>
        </w:rPr>
        <w:t xml:space="preserve">Accompaniment protocols have mostly been established on an ad-hoc basis or through direct relationships established by UNHCR staff with key officials. While these strategies can be used </w:t>
      </w:r>
      <w:r w:rsidR="003420C9">
        <w:rPr>
          <w:rFonts w:ascii="Calibri Light" w:hAnsi="Calibri Light" w:cs="Calibri Light"/>
          <w:sz w:val="20"/>
          <w:szCs w:val="20"/>
        </w:rPr>
        <w:t xml:space="preserve">in </w:t>
      </w:r>
      <w:r w:rsidRPr="002B00EA">
        <w:rPr>
          <w:rFonts w:ascii="Calibri Light" w:hAnsi="Calibri Light" w:cs="Calibri Light"/>
          <w:sz w:val="20"/>
          <w:szCs w:val="20"/>
        </w:rPr>
        <w:t xml:space="preserve">the initial phases of the LIP, they </w:t>
      </w:r>
      <w:r w:rsidR="003368DC" w:rsidRPr="002B00EA">
        <w:rPr>
          <w:rFonts w:ascii="Calibri Light" w:hAnsi="Calibri Light" w:cs="Calibri Light"/>
          <w:sz w:val="20"/>
          <w:szCs w:val="20"/>
        </w:rPr>
        <w:t xml:space="preserve">are </w:t>
      </w:r>
      <w:r w:rsidR="003368DC">
        <w:rPr>
          <w:rFonts w:ascii="Calibri Light" w:hAnsi="Calibri Light" w:cs="Calibri Light"/>
          <w:sz w:val="20"/>
          <w:szCs w:val="20"/>
        </w:rPr>
        <w:t>depend</w:t>
      </w:r>
      <w:r w:rsidR="003420C9">
        <w:rPr>
          <w:rFonts w:ascii="Calibri Light" w:hAnsi="Calibri Light" w:cs="Calibri Light"/>
          <w:sz w:val="20"/>
          <w:szCs w:val="20"/>
        </w:rPr>
        <w:t xml:space="preserve"> </w:t>
      </w:r>
      <w:r w:rsidRPr="002B00EA">
        <w:rPr>
          <w:rFonts w:ascii="Calibri Light" w:hAnsi="Calibri Light" w:cs="Calibri Light"/>
          <w:sz w:val="20"/>
          <w:szCs w:val="20"/>
        </w:rPr>
        <w:t xml:space="preserve">individual relationships and </w:t>
      </w:r>
      <w:r w:rsidR="003420C9">
        <w:rPr>
          <w:rFonts w:ascii="Calibri Light" w:hAnsi="Calibri Light" w:cs="Calibri Light"/>
          <w:sz w:val="20"/>
          <w:szCs w:val="20"/>
        </w:rPr>
        <w:t xml:space="preserve">are </w:t>
      </w:r>
      <w:r w:rsidR="00F35A9D">
        <w:rPr>
          <w:rFonts w:ascii="Calibri Light" w:hAnsi="Calibri Light" w:cs="Calibri Light"/>
          <w:sz w:val="20"/>
          <w:szCs w:val="20"/>
        </w:rPr>
        <w:t xml:space="preserve">not </w:t>
      </w:r>
      <w:proofErr w:type="gramStart"/>
      <w:r w:rsidR="00F35A9D">
        <w:rPr>
          <w:rFonts w:ascii="Calibri Light" w:hAnsi="Calibri Light" w:cs="Calibri Light"/>
          <w:sz w:val="20"/>
          <w:szCs w:val="20"/>
        </w:rPr>
        <w:t>established</w:t>
      </w:r>
      <w:r w:rsidR="003420C9">
        <w:rPr>
          <w:rFonts w:ascii="Calibri Light" w:hAnsi="Calibri Light" w:cs="Calibri Light"/>
          <w:sz w:val="20"/>
          <w:szCs w:val="20"/>
        </w:rPr>
        <w:t xml:space="preserve"> </w:t>
      </w:r>
      <w:r w:rsidRPr="002B00EA">
        <w:rPr>
          <w:rFonts w:ascii="Calibri Light" w:hAnsi="Calibri Light" w:cs="Calibri Light"/>
          <w:sz w:val="20"/>
          <w:szCs w:val="20"/>
        </w:rPr>
        <w:t xml:space="preserve"> within</w:t>
      </w:r>
      <w:proofErr w:type="gramEnd"/>
      <w:r w:rsidRPr="002B00EA">
        <w:rPr>
          <w:rFonts w:ascii="Calibri Light" w:hAnsi="Calibri Light" w:cs="Calibri Light"/>
          <w:sz w:val="20"/>
          <w:szCs w:val="20"/>
        </w:rPr>
        <w:t xml:space="preserve"> an institutional alliance, which is a better option for building capacity at the local </w:t>
      </w:r>
      <w:r w:rsidR="003420C9" w:rsidRPr="002B00EA">
        <w:rPr>
          <w:rFonts w:ascii="Calibri Light" w:hAnsi="Calibri Light" w:cs="Calibri Light"/>
          <w:sz w:val="20"/>
          <w:szCs w:val="20"/>
        </w:rPr>
        <w:t>level and</w:t>
      </w:r>
      <w:r w:rsidR="003420C9">
        <w:rPr>
          <w:rFonts w:ascii="Calibri Light" w:hAnsi="Calibri Light" w:cs="Calibri Light"/>
          <w:sz w:val="20"/>
          <w:szCs w:val="20"/>
        </w:rPr>
        <w:t xml:space="preserve"> creating </w:t>
      </w:r>
      <w:r w:rsidRPr="002B00EA">
        <w:rPr>
          <w:rFonts w:ascii="Calibri Light" w:hAnsi="Calibri Light" w:cs="Calibri Light"/>
          <w:sz w:val="20"/>
          <w:szCs w:val="20"/>
        </w:rPr>
        <w:t xml:space="preserve">greater involvement of actors </w:t>
      </w:r>
      <w:r w:rsidR="003420C9">
        <w:rPr>
          <w:rFonts w:ascii="Calibri Light" w:hAnsi="Calibri Light" w:cs="Calibri Light"/>
          <w:sz w:val="20"/>
          <w:szCs w:val="20"/>
        </w:rPr>
        <w:t xml:space="preserve">to </w:t>
      </w:r>
      <w:r w:rsidRPr="002B00EA">
        <w:rPr>
          <w:rFonts w:ascii="Calibri Light" w:hAnsi="Calibri Light" w:cs="Calibri Light"/>
          <w:sz w:val="20"/>
          <w:szCs w:val="20"/>
        </w:rPr>
        <w:t>reinforc</w:t>
      </w:r>
      <w:r w:rsidR="003420C9">
        <w:rPr>
          <w:rFonts w:ascii="Calibri Light" w:hAnsi="Calibri Light" w:cs="Calibri Light"/>
          <w:sz w:val="20"/>
          <w:szCs w:val="20"/>
        </w:rPr>
        <w:t>e</w:t>
      </w:r>
      <w:r w:rsidRPr="002B00EA">
        <w:rPr>
          <w:rFonts w:ascii="Calibri Light" w:hAnsi="Calibri Light" w:cs="Calibri Light"/>
          <w:sz w:val="20"/>
          <w:szCs w:val="20"/>
        </w:rPr>
        <w:t xml:space="preserve"> sustainability.</w:t>
      </w:r>
    </w:p>
    <w:p w14:paraId="40A356C0" w14:textId="5CC1AFF7" w:rsidR="002C39F4" w:rsidRPr="002B00EA" w:rsidRDefault="002C39F4" w:rsidP="002C39F4">
      <w:pPr>
        <w:pStyle w:val="NormalWeb"/>
        <w:numPr>
          <w:ilvl w:val="0"/>
          <w:numId w:val="1"/>
        </w:numPr>
        <w:shd w:val="clear" w:color="auto" w:fill="FFFFFF" w:themeFill="background1"/>
        <w:spacing w:before="0" w:beforeAutospacing="0" w:after="120" w:afterAutospacing="0"/>
        <w:ind w:left="425" w:hanging="357"/>
        <w:jc w:val="both"/>
        <w:rPr>
          <w:sz w:val="20"/>
          <w:szCs w:val="20"/>
        </w:rPr>
      </w:pPr>
      <w:r w:rsidRPr="002B00EA">
        <w:rPr>
          <w:rFonts w:ascii="Calibri Light" w:hAnsi="Calibri Light" w:cs="Calibri Light"/>
          <w:sz w:val="20"/>
          <w:szCs w:val="20"/>
        </w:rPr>
        <w:t xml:space="preserve">The accompaniment protocols are not static and require updating </w:t>
      </w:r>
      <w:r w:rsidR="000951E2">
        <w:rPr>
          <w:rFonts w:ascii="Calibri Light" w:hAnsi="Calibri Light" w:cs="Calibri Light"/>
          <w:sz w:val="20"/>
          <w:szCs w:val="20"/>
        </w:rPr>
        <w:t xml:space="preserve">to adapt to </w:t>
      </w:r>
      <w:r w:rsidRPr="002B00EA">
        <w:rPr>
          <w:rFonts w:ascii="Calibri Light" w:hAnsi="Calibri Light" w:cs="Calibri Light"/>
          <w:sz w:val="20"/>
          <w:szCs w:val="20"/>
        </w:rPr>
        <w:t xml:space="preserve">the arrival of different PoC profiles, changes in public administrations and conjunctural situations, particularly with regard to accompaniment in legal inclusion. Given that the national and local </w:t>
      </w:r>
      <w:r w:rsidR="003368DC" w:rsidRPr="002B00EA">
        <w:rPr>
          <w:rFonts w:ascii="Calibri Light" w:hAnsi="Calibri Light" w:cs="Calibri Light"/>
          <w:sz w:val="20"/>
          <w:szCs w:val="20"/>
        </w:rPr>
        <w:t>context</w:t>
      </w:r>
      <w:r w:rsidR="003368DC">
        <w:rPr>
          <w:rFonts w:ascii="Calibri Light" w:hAnsi="Calibri Light" w:cs="Calibri Light"/>
          <w:sz w:val="20"/>
          <w:szCs w:val="20"/>
        </w:rPr>
        <w:t>s</w:t>
      </w:r>
      <w:r w:rsidR="003368DC" w:rsidRPr="002B00EA">
        <w:rPr>
          <w:rFonts w:ascii="Calibri Light" w:hAnsi="Calibri Light" w:cs="Calibri Light"/>
          <w:sz w:val="20"/>
          <w:szCs w:val="20"/>
        </w:rPr>
        <w:t xml:space="preserve"> are</w:t>
      </w:r>
      <w:r w:rsidR="000951E2">
        <w:rPr>
          <w:rFonts w:ascii="Calibri Light" w:hAnsi="Calibri Light" w:cs="Calibri Light"/>
          <w:sz w:val="20"/>
          <w:szCs w:val="20"/>
        </w:rPr>
        <w:t xml:space="preserve"> </w:t>
      </w:r>
      <w:r w:rsidRPr="002B00EA">
        <w:rPr>
          <w:rFonts w:ascii="Calibri Light" w:hAnsi="Calibri Light" w:cs="Calibri Light"/>
          <w:sz w:val="20"/>
          <w:szCs w:val="20"/>
        </w:rPr>
        <w:t xml:space="preserve">constantly changing, this means that UNHCR staff are continually updating the accompaniment protocols. Consequently, efforts to plan and </w:t>
      </w:r>
      <w:r w:rsidR="003368DC" w:rsidRPr="002B00EA">
        <w:rPr>
          <w:rFonts w:ascii="Calibri Light" w:hAnsi="Calibri Light" w:cs="Calibri Light"/>
          <w:sz w:val="20"/>
          <w:szCs w:val="20"/>
        </w:rPr>
        <w:t>build an</w:t>
      </w:r>
      <w:r w:rsidR="000951E2">
        <w:rPr>
          <w:rFonts w:ascii="Calibri Light" w:hAnsi="Calibri Light" w:cs="Calibri Light"/>
          <w:sz w:val="20"/>
          <w:szCs w:val="20"/>
        </w:rPr>
        <w:t xml:space="preserve"> </w:t>
      </w:r>
      <w:r w:rsidRPr="002B00EA">
        <w:rPr>
          <w:rFonts w:ascii="Calibri Light" w:hAnsi="Calibri Light" w:cs="Calibri Light"/>
          <w:sz w:val="20"/>
          <w:szCs w:val="20"/>
        </w:rPr>
        <w:t xml:space="preserve">accompaniment strategy have to be contemplated within the work plans of local teams. Otherwise, the team may find itself regularly overwhelmed </w:t>
      </w:r>
      <w:r w:rsidR="000951E2">
        <w:rPr>
          <w:rFonts w:ascii="Calibri Light" w:hAnsi="Calibri Light" w:cs="Calibri Light"/>
          <w:sz w:val="20"/>
          <w:szCs w:val="20"/>
        </w:rPr>
        <w:t xml:space="preserve">in responding to </w:t>
      </w:r>
      <w:r w:rsidRPr="002B00EA">
        <w:rPr>
          <w:rFonts w:ascii="Calibri Light" w:hAnsi="Calibri Light" w:cs="Calibri Light"/>
          <w:sz w:val="20"/>
          <w:szCs w:val="20"/>
        </w:rPr>
        <w:t>immediate needs, but without the time to review the efficiency and strategic components of accompaniment</w:t>
      </w:r>
      <w:r w:rsidR="000951E2">
        <w:rPr>
          <w:rFonts w:ascii="Calibri Light" w:hAnsi="Calibri Light" w:cs="Calibri Light"/>
          <w:sz w:val="20"/>
          <w:szCs w:val="20"/>
        </w:rPr>
        <w:t xml:space="preserve"> actions</w:t>
      </w:r>
      <w:r w:rsidRPr="002B00EA">
        <w:rPr>
          <w:rFonts w:ascii="Calibri Light" w:hAnsi="Calibri Light" w:cs="Calibri Light"/>
          <w:sz w:val="20"/>
          <w:szCs w:val="20"/>
        </w:rPr>
        <w:t>.</w:t>
      </w:r>
    </w:p>
    <w:p w14:paraId="6E50266A" w14:textId="417EEF14" w:rsidR="007026DB" w:rsidRPr="002B00EA" w:rsidRDefault="007026DB" w:rsidP="002B00EA">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sidRPr="002B00EA">
        <w:rPr>
          <w:rFonts w:ascii="Calibri Light" w:hAnsi="Calibri Light" w:cs="Calibri Light"/>
          <w:sz w:val="20"/>
          <w:szCs w:val="20"/>
        </w:rPr>
        <w:t xml:space="preserve">Accompanying PoC to facilitate local integration is a process that makes it complex to find a balance between fostering people's resilience to achieve autonomy and self-sufficiency and offering holistic accompaniment that allows beneficiaries to have sufficient conditions to establish themselves. Reaching this balance is not so easy when planning </w:t>
      </w:r>
      <w:r w:rsidR="003368DC" w:rsidRPr="002B00EA">
        <w:rPr>
          <w:rFonts w:ascii="Calibri Light" w:hAnsi="Calibri Light" w:cs="Calibri Light"/>
          <w:sz w:val="20"/>
          <w:szCs w:val="20"/>
        </w:rPr>
        <w:t xml:space="preserve">the </w:t>
      </w:r>
      <w:r w:rsidR="003368DC">
        <w:rPr>
          <w:rFonts w:ascii="Calibri Light" w:hAnsi="Calibri Light" w:cs="Calibri Light"/>
          <w:sz w:val="20"/>
          <w:szCs w:val="20"/>
        </w:rPr>
        <w:t>duration</w:t>
      </w:r>
      <w:r w:rsidR="000951E2">
        <w:rPr>
          <w:rFonts w:ascii="Calibri Light" w:hAnsi="Calibri Light" w:cs="Calibri Light"/>
          <w:sz w:val="20"/>
          <w:szCs w:val="20"/>
        </w:rPr>
        <w:t xml:space="preserve"> </w:t>
      </w:r>
      <w:proofErr w:type="gramStart"/>
      <w:r w:rsidRPr="002B00EA">
        <w:rPr>
          <w:rFonts w:ascii="Calibri Light" w:hAnsi="Calibri Light" w:cs="Calibri Light"/>
          <w:sz w:val="20"/>
          <w:szCs w:val="20"/>
        </w:rPr>
        <w:t xml:space="preserve">of </w:t>
      </w:r>
      <w:r w:rsidR="000951E2">
        <w:rPr>
          <w:rFonts w:ascii="Calibri Light" w:hAnsi="Calibri Light" w:cs="Calibri Light"/>
          <w:sz w:val="20"/>
          <w:szCs w:val="20"/>
        </w:rPr>
        <w:t xml:space="preserve"> intensive</w:t>
      </w:r>
      <w:proofErr w:type="gramEnd"/>
      <w:r w:rsidR="000951E2">
        <w:rPr>
          <w:rFonts w:ascii="Calibri Light" w:hAnsi="Calibri Light" w:cs="Calibri Light"/>
          <w:sz w:val="20"/>
          <w:szCs w:val="20"/>
        </w:rPr>
        <w:t xml:space="preserve"> </w:t>
      </w:r>
      <w:r w:rsidRPr="002B00EA">
        <w:rPr>
          <w:rFonts w:ascii="Calibri Light" w:hAnsi="Calibri Light" w:cs="Calibri Light"/>
          <w:sz w:val="20"/>
          <w:szCs w:val="20"/>
        </w:rPr>
        <w:t xml:space="preserve">accompaniment, which can last for months and </w:t>
      </w:r>
      <w:r w:rsidR="007B5ADE">
        <w:rPr>
          <w:rFonts w:ascii="Calibri Light" w:hAnsi="Calibri Light" w:cs="Calibri Light"/>
          <w:sz w:val="20"/>
          <w:szCs w:val="20"/>
        </w:rPr>
        <w:t xml:space="preserve">may </w:t>
      </w:r>
      <w:r w:rsidRPr="002B00EA">
        <w:rPr>
          <w:rFonts w:ascii="Calibri Light" w:hAnsi="Calibri Light" w:cs="Calibri Light"/>
          <w:sz w:val="20"/>
          <w:szCs w:val="20"/>
        </w:rPr>
        <w:t xml:space="preserve">require a quicker response to specific needs (e.g. CBI support that arrives late). </w:t>
      </w:r>
    </w:p>
    <w:p w14:paraId="202220B3" w14:textId="7E0624E4" w:rsidR="002C39F4" w:rsidRPr="002B00EA" w:rsidRDefault="002B00EA" w:rsidP="002B00EA">
      <w:pPr>
        <w:pStyle w:val="NormalWeb"/>
        <w:numPr>
          <w:ilvl w:val="0"/>
          <w:numId w:val="1"/>
        </w:numPr>
        <w:shd w:val="clear" w:color="auto" w:fill="FFFFFF" w:themeFill="background1"/>
        <w:spacing w:before="0" w:beforeAutospacing="0" w:after="120" w:afterAutospacing="0"/>
        <w:ind w:left="425" w:hanging="357"/>
        <w:jc w:val="both"/>
        <w:rPr>
          <w:rFonts w:ascii="Calibri Light" w:hAnsi="Calibri Light" w:cs="Calibri Light"/>
          <w:sz w:val="20"/>
          <w:szCs w:val="20"/>
        </w:rPr>
      </w:pPr>
      <w:r w:rsidRPr="002B00EA">
        <w:rPr>
          <w:rFonts w:ascii="Calibri Light" w:hAnsi="Calibri Light" w:cs="Calibri Light"/>
          <w:sz w:val="20"/>
          <w:szCs w:val="20"/>
        </w:rPr>
        <w:t xml:space="preserve">The social protection system is weak for the national population where, for example, the right to health is conditioned to formal employment (IMSS medical coverage) or there is a lack of initiatives in the housing sector. Therefore, already integrated PoC continue to </w:t>
      </w:r>
      <w:r w:rsidR="007B5ADE">
        <w:rPr>
          <w:rFonts w:ascii="Calibri Light" w:hAnsi="Calibri Light" w:cs="Calibri Light"/>
          <w:sz w:val="20"/>
          <w:szCs w:val="20"/>
        </w:rPr>
        <w:t xml:space="preserve">face </w:t>
      </w:r>
      <w:r w:rsidRPr="002B00EA">
        <w:rPr>
          <w:rFonts w:ascii="Calibri Light" w:hAnsi="Calibri Light" w:cs="Calibri Light"/>
          <w:sz w:val="20"/>
          <w:szCs w:val="20"/>
        </w:rPr>
        <w:t>vulnerabilities (</w:t>
      </w:r>
      <w:proofErr w:type="gramStart"/>
      <w:r w:rsidRPr="002B00EA">
        <w:rPr>
          <w:rFonts w:ascii="Calibri Light" w:hAnsi="Calibri Light" w:cs="Calibri Light"/>
          <w:sz w:val="20"/>
          <w:szCs w:val="20"/>
        </w:rPr>
        <w:t>e.g.</w:t>
      </w:r>
      <w:proofErr w:type="gramEnd"/>
      <w:r w:rsidRPr="002B00EA">
        <w:rPr>
          <w:rFonts w:ascii="Calibri Light" w:hAnsi="Calibri Light" w:cs="Calibri Light"/>
          <w:sz w:val="20"/>
          <w:szCs w:val="20"/>
        </w:rPr>
        <w:t xml:space="preserve"> unemployment due to cutbacks during a pandemic) and a lack of specific social support for people on the move. This explains the observation of cases of PoC already integrated and residing in Mexico for several years that continue to need support from UNHCR, with implications for the LIP to maintain a medium/long-term integration intervention.</w:t>
      </w:r>
    </w:p>
    <w:p w14:paraId="476518B0" w14:textId="77777777" w:rsidR="002C39F4" w:rsidRPr="002B00EA" w:rsidRDefault="002C39F4" w:rsidP="002C39F4">
      <w:pPr>
        <w:jc w:val="both"/>
        <w:rPr>
          <w:sz w:val="20"/>
          <w:szCs w:val="20"/>
          <w:lang w:val="en-GB"/>
        </w:rPr>
      </w:pPr>
    </w:p>
    <w:p w14:paraId="4ADA0DBC" w14:textId="77777777" w:rsidR="00996F2A" w:rsidRPr="002B00EA" w:rsidRDefault="00996F2A">
      <w:pPr>
        <w:rPr>
          <w:lang w:val="en-GB"/>
        </w:rPr>
      </w:pPr>
    </w:p>
    <w:sectPr w:rsidR="00996F2A" w:rsidRPr="002B00EA">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FBDE1" w14:textId="77777777" w:rsidR="00383F4D" w:rsidRDefault="00383F4D" w:rsidP="007E27BA">
      <w:pPr>
        <w:spacing w:after="0" w:line="240" w:lineRule="auto"/>
      </w:pPr>
      <w:r>
        <w:separator/>
      </w:r>
    </w:p>
  </w:endnote>
  <w:endnote w:type="continuationSeparator" w:id="0">
    <w:p w14:paraId="6F1B3DEC" w14:textId="77777777" w:rsidR="00383F4D" w:rsidRDefault="00383F4D" w:rsidP="007E2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74E17" w14:textId="77777777" w:rsidR="00383F4D" w:rsidRDefault="00383F4D" w:rsidP="007E27BA">
      <w:pPr>
        <w:spacing w:after="0" w:line="240" w:lineRule="auto"/>
      </w:pPr>
      <w:r>
        <w:separator/>
      </w:r>
    </w:p>
  </w:footnote>
  <w:footnote w:type="continuationSeparator" w:id="0">
    <w:p w14:paraId="3F41A52E" w14:textId="77777777" w:rsidR="00383F4D" w:rsidRDefault="00383F4D" w:rsidP="007E27BA">
      <w:pPr>
        <w:spacing w:after="0" w:line="240" w:lineRule="auto"/>
      </w:pPr>
      <w:r>
        <w:continuationSeparator/>
      </w:r>
    </w:p>
  </w:footnote>
  <w:footnote w:id="1">
    <w:p w14:paraId="2610D984" w14:textId="787EA1C1" w:rsidR="00D8110B" w:rsidRPr="00D741BA" w:rsidRDefault="00D8110B" w:rsidP="00D8110B">
      <w:pPr>
        <w:spacing w:line="240" w:lineRule="auto"/>
        <w:contextualSpacing/>
        <w:rPr>
          <w:rFonts w:asciiTheme="majorHAnsi" w:eastAsia="Times New Roman" w:hAnsiTheme="majorHAnsi" w:cstheme="majorHAnsi"/>
          <w:sz w:val="16"/>
          <w:szCs w:val="16"/>
          <w:lang w:val="en-US"/>
        </w:rPr>
      </w:pPr>
      <w:r w:rsidRPr="00EE59EE">
        <w:rPr>
          <w:rStyle w:val="Refdenotaalpie"/>
          <w:sz w:val="16"/>
          <w:szCs w:val="16"/>
        </w:rPr>
        <w:footnoteRef/>
      </w:r>
      <w:r w:rsidRPr="00EE59EE">
        <w:rPr>
          <w:sz w:val="16"/>
          <w:szCs w:val="16"/>
        </w:rPr>
        <w:t xml:space="preserve"> </w:t>
      </w:r>
      <w:r w:rsidR="00D741BA" w:rsidRPr="00D741BA">
        <w:rPr>
          <w:rFonts w:asciiTheme="majorHAnsi" w:eastAsia="Times New Roman" w:hAnsiTheme="majorHAnsi" w:cstheme="majorHAnsi"/>
          <w:sz w:val="16"/>
          <w:szCs w:val="16"/>
          <w:lang w:val="en-US"/>
        </w:rPr>
        <w:t xml:space="preserve">Mexican Law on Refugees and Complementary Protection </w:t>
      </w:r>
      <w:r w:rsidR="00D741BA">
        <w:rPr>
          <w:rFonts w:asciiTheme="majorHAnsi" w:eastAsia="Times New Roman" w:hAnsiTheme="majorHAnsi" w:cstheme="majorHAnsi"/>
          <w:sz w:val="16"/>
          <w:szCs w:val="16"/>
          <w:lang w:val="en-US"/>
        </w:rPr>
        <w:t>(</w:t>
      </w:r>
      <w:r w:rsidR="00D741BA" w:rsidRPr="00D741BA">
        <w:rPr>
          <w:rFonts w:asciiTheme="majorHAnsi" w:eastAsia="Times New Roman" w:hAnsiTheme="majorHAnsi" w:cstheme="majorHAnsi"/>
          <w:sz w:val="16"/>
          <w:szCs w:val="16"/>
          <w:lang w:val="en-US"/>
        </w:rPr>
        <w:t>2011</w:t>
      </w:r>
      <w:r w:rsidR="00D741BA">
        <w:rPr>
          <w:rFonts w:asciiTheme="majorHAnsi" w:eastAsia="Times New Roman" w:hAnsiTheme="majorHAnsi" w:cstheme="majorHAnsi"/>
          <w:sz w:val="16"/>
          <w:szCs w:val="16"/>
          <w:lang w:val="en-US"/>
        </w:rPr>
        <w:t>)</w:t>
      </w:r>
      <w:r w:rsidR="00D741BA" w:rsidRPr="00D741BA">
        <w:rPr>
          <w:rFonts w:asciiTheme="majorHAnsi" w:eastAsia="Times New Roman" w:hAnsiTheme="majorHAnsi" w:cstheme="majorHAnsi"/>
          <w:sz w:val="16"/>
          <w:szCs w:val="16"/>
          <w:lang w:val="en-US"/>
        </w:rPr>
        <w:t xml:space="preserve">: “Article </w:t>
      </w:r>
      <w:proofErr w:type="gramStart"/>
      <w:r w:rsidR="00D741BA" w:rsidRPr="00D741BA">
        <w:rPr>
          <w:rFonts w:asciiTheme="majorHAnsi" w:eastAsia="Times New Roman" w:hAnsiTheme="majorHAnsi" w:cstheme="majorHAnsi"/>
          <w:sz w:val="16"/>
          <w:szCs w:val="16"/>
          <w:lang w:val="en-US"/>
        </w:rPr>
        <w:t>2.IV.</w:t>
      </w:r>
      <w:proofErr w:type="gramEnd"/>
      <w:r w:rsidR="00D741BA" w:rsidRPr="00D741BA">
        <w:rPr>
          <w:rFonts w:asciiTheme="majorHAnsi" w:eastAsia="Times New Roman" w:hAnsiTheme="majorHAnsi" w:cstheme="majorHAnsi"/>
          <w:sz w:val="16"/>
          <w:szCs w:val="16"/>
          <w:lang w:val="en-US"/>
        </w:rPr>
        <w:t xml:space="preserve"> Complementary Protection: Protection that the Ministry of the Interior grants to </w:t>
      </w:r>
      <w:r w:rsidR="00D741BA">
        <w:rPr>
          <w:rFonts w:asciiTheme="majorHAnsi" w:eastAsia="Times New Roman" w:hAnsiTheme="majorHAnsi" w:cstheme="majorHAnsi"/>
          <w:sz w:val="16"/>
          <w:szCs w:val="16"/>
          <w:lang w:val="en-US"/>
        </w:rPr>
        <w:t>a</w:t>
      </w:r>
      <w:r w:rsidR="00D741BA" w:rsidRPr="00D741BA">
        <w:rPr>
          <w:rFonts w:asciiTheme="majorHAnsi" w:eastAsia="Times New Roman" w:hAnsiTheme="majorHAnsi" w:cstheme="majorHAnsi"/>
          <w:sz w:val="16"/>
          <w:szCs w:val="16"/>
          <w:lang w:val="en-US"/>
        </w:rPr>
        <w:t xml:space="preserve"> foreigner who has not been recognized as a refugee under the terms of this Law, </w:t>
      </w:r>
      <w:r w:rsidR="00D741BA">
        <w:rPr>
          <w:rFonts w:asciiTheme="majorHAnsi" w:eastAsia="Times New Roman" w:hAnsiTheme="majorHAnsi" w:cstheme="majorHAnsi"/>
          <w:sz w:val="16"/>
          <w:szCs w:val="16"/>
          <w:lang w:val="en-US"/>
        </w:rPr>
        <w:t>consists of non-refoulment</w:t>
      </w:r>
      <w:r w:rsidR="00D741BA" w:rsidRPr="00D741BA">
        <w:rPr>
          <w:rFonts w:asciiTheme="majorHAnsi" w:eastAsia="Times New Roman" w:hAnsiTheme="majorHAnsi" w:cstheme="majorHAnsi"/>
          <w:sz w:val="16"/>
          <w:szCs w:val="16"/>
          <w:lang w:val="en-US"/>
        </w:rPr>
        <w:t xml:space="preserve"> to the territory of another country where his</w:t>
      </w:r>
      <w:r w:rsidR="00D741BA">
        <w:rPr>
          <w:rFonts w:asciiTheme="majorHAnsi" w:eastAsia="Times New Roman" w:hAnsiTheme="majorHAnsi" w:cstheme="majorHAnsi"/>
          <w:sz w:val="16"/>
          <w:szCs w:val="16"/>
          <w:lang w:val="en-US"/>
        </w:rPr>
        <w:t xml:space="preserve"> or her</w:t>
      </w:r>
      <w:r w:rsidR="00D741BA" w:rsidRPr="00D741BA">
        <w:rPr>
          <w:rFonts w:asciiTheme="majorHAnsi" w:eastAsia="Times New Roman" w:hAnsiTheme="majorHAnsi" w:cstheme="majorHAnsi"/>
          <w:sz w:val="16"/>
          <w:szCs w:val="16"/>
          <w:lang w:val="en-US"/>
        </w:rPr>
        <w:t xml:space="preserve"> life would be threatened or would be in danger of be</w:t>
      </w:r>
      <w:r w:rsidR="00D741BA">
        <w:rPr>
          <w:rFonts w:asciiTheme="majorHAnsi" w:eastAsia="Times New Roman" w:hAnsiTheme="majorHAnsi" w:cstheme="majorHAnsi"/>
          <w:sz w:val="16"/>
          <w:szCs w:val="16"/>
          <w:lang w:val="en-US"/>
        </w:rPr>
        <w:t>ing</w:t>
      </w:r>
      <w:r w:rsidR="00D741BA" w:rsidRPr="00D741BA">
        <w:rPr>
          <w:rFonts w:asciiTheme="majorHAnsi" w:eastAsia="Times New Roman" w:hAnsiTheme="majorHAnsi" w:cstheme="majorHAnsi"/>
          <w:sz w:val="16"/>
          <w:szCs w:val="16"/>
          <w:lang w:val="en-US"/>
        </w:rPr>
        <w:t xml:space="preserve"> subjected to torture or other cruel, </w:t>
      </w:r>
      <w:proofErr w:type="gramStart"/>
      <w:r w:rsidR="00D741BA" w:rsidRPr="00D741BA">
        <w:rPr>
          <w:rFonts w:asciiTheme="majorHAnsi" w:eastAsia="Times New Roman" w:hAnsiTheme="majorHAnsi" w:cstheme="majorHAnsi"/>
          <w:sz w:val="16"/>
          <w:szCs w:val="16"/>
          <w:lang w:val="en-US"/>
        </w:rPr>
        <w:t>inhuman</w:t>
      </w:r>
      <w:proofErr w:type="gramEnd"/>
      <w:r w:rsidR="00D741BA" w:rsidRPr="00D741BA">
        <w:rPr>
          <w:rFonts w:asciiTheme="majorHAnsi" w:eastAsia="Times New Roman" w:hAnsiTheme="majorHAnsi" w:cstheme="majorHAnsi"/>
          <w:sz w:val="16"/>
          <w:szCs w:val="16"/>
          <w:lang w:val="en-US"/>
        </w:rPr>
        <w:t xml:space="preserve"> or degrading treatment or punishment”.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8A5"/>
    <w:multiLevelType w:val="hybridMultilevel"/>
    <w:tmpl w:val="A0D6B89E"/>
    <w:lvl w:ilvl="0" w:tplc="F9AA99C2">
      <w:start w:val="1"/>
      <w:numFmt w:val="decimal"/>
      <w:pStyle w:val="Prrafodelista"/>
      <w:lvlText w:val="(%1)"/>
      <w:lvlJc w:val="left"/>
      <w:pPr>
        <w:ind w:left="3479" w:hanging="360"/>
      </w:pPr>
      <w:rPr>
        <w:rFonts w:ascii="Calibri Light" w:hAnsi="Calibri Light" w:cs="Calibri Light" w:hint="default"/>
        <w:b w:val="0"/>
        <w:bCs w:val="0"/>
        <w:i w:val="0"/>
        <w:iCs w:val="0"/>
        <w:color w:val="000000" w:themeColor="text1"/>
        <w:sz w:val="20"/>
        <w:szCs w:val="2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80928C3"/>
    <w:multiLevelType w:val="hybridMultilevel"/>
    <w:tmpl w:val="FCC4B400"/>
    <w:lvl w:ilvl="0" w:tplc="040A0005">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3E923A05"/>
    <w:multiLevelType w:val="hybridMultilevel"/>
    <w:tmpl w:val="2A70707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473713397">
    <w:abstractNumId w:val="1"/>
  </w:num>
  <w:num w:numId="2" w16cid:durableId="1707868323">
    <w:abstractNumId w:val="0"/>
  </w:num>
  <w:num w:numId="3" w16cid:durableId="3295261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F2A"/>
    <w:rsid w:val="00062040"/>
    <w:rsid w:val="000951E2"/>
    <w:rsid w:val="0028031B"/>
    <w:rsid w:val="002834B7"/>
    <w:rsid w:val="002B00EA"/>
    <w:rsid w:val="002C39F4"/>
    <w:rsid w:val="002C6045"/>
    <w:rsid w:val="003334E2"/>
    <w:rsid w:val="003368DC"/>
    <w:rsid w:val="003420C9"/>
    <w:rsid w:val="00383F4D"/>
    <w:rsid w:val="003A7271"/>
    <w:rsid w:val="00440C6F"/>
    <w:rsid w:val="00572844"/>
    <w:rsid w:val="006A4821"/>
    <w:rsid w:val="007026DB"/>
    <w:rsid w:val="007B5ADE"/>
    <w:rsid w:val="007E27BA"/>
    <w:rsid w:val="008E7615"/>
    <w:rsid w:val="00996F2A"/>
    <w:rsid w:val="009B1868"/>
    <w:rsid w:val="00A0329B"/>
    <w:rsid w:val="00AD3ECF"/>
    <w:rsid w:val="00B44660"/>
    <w:rsid w:val="00B52D5A"/>
    <w:rsid w:val="00C67622"/>
    <w:rsid w:val="00C759F4"/>
    <w:rsid w:val="00D741BA"/>
    <w:rsid w:val="00D8110B"/>
    <w:rsid w:val="00DD4522"/>
    <w:rsid w:val="00EB564B"/>
    <w:rsid w:val="00F35A9D"/>
    <w:rsid w:val="00FB04D0"/>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54EBF"/>
  <w15:chartTrackingRefBased/>
  <w15:docId w15:val="{3150EAC4-D6B5-4BE2-A3B9-0F1EC30D4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Calibri Light"/>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F2A"/>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Dot pt,F5 List Paragraph,List Paragraph1,List Paragraph Char Char Char,Indicator Text,Colorful List - Accent 11,Numbered Para 1,Bullet 1,Bullet Points,List Paragraph2,MAIN CONTENT,Normal numbered,Issue Action POC,3,Bullet"/>
    <w:basedOn w:val="Normal"/>
    <w:link w:val="PrrafodelistaCar"/>
    <w:uiPriority w:val="34"/>
    <w:qFormat/>
    <w:rsid w:val="00996F2A"/>
    <w:pPr>
      <w:numPr>
        <w:numId w:val="2"/>
      </w:numPr>
      <w:tabs>
        <w:tab w:val="left" w:pos="567"/>
        <w:tab w:val="left" w:pos="709"/>
      </w:tabs>
      <w:spacing w:before="240" w:after="240" w:line="240" w:lineRule="auto"/>
      <w:ind w:left="0" w:firstLine="0"/>
    </w:pPr>
    <w:rPr>
      <w:rFonts w:eastAsia="Arial Unicode MS"/>
      <w:sz w:val="20"/>
      <w:szCs w:val="20"/>
      <w:bdr w:val="nil"/>
      <w:lang w:val="es-419"/>
    </w:rPr>
  </w:style>
  <w:style w:type="character" w:customStyle="1" w:styleId="PrrafodelistaCar">
    <w:name w:val="Párrafo de lista Car"/>
    <w:aliases w:val="Dot pt Car,F5 List Paragraph Car,List Paragraph1 Car,List Paragraph Char Char Char Car,Indicator Text Car,Colorful List - Accent 11 Car,Numbered Para 1 Car,Bullet 1 Car,Bullet Points Car,List Paragraph2 Car,MAIN CONTENT Car,3 Car"/>
    <w:link w:val="Prrafodelista"/>
    <w:uiPriority w:val="34"/>
    <w:qFormat/>
    <w:locked/>
    <w:rsid w:val="00996F2A"/>
    <w:rPr>
      <w:rFonts w:eastAsia="Arial Unicode MS"/>
      <w:bdr w:val="nil"/>
      <w:lang w:val="es-419"/>
    </w:rPr>
  </w:style>
  <w:style w:type="paragraph" w:styleId="NormalWeb">
    <w:name w:val="Normal (Web)"/>
    <w:basedOn w:val="Normal"/>
    <w:uiPriority w:val="99"/>
    <w:unhideWhenUsed/>
    <w:rsid w:val="00996F2A"/>
    <w:pPr>
      <w:spacing w:before="100" w:beforeAutospacing="1" w:after="100" w:afterAutospacing="1" w:line="240" w:lineRule="auto"/>
    </w:pPr>
    <w:rPr>
      <w:rFonts w:ascii="Times New Roman" w:eastAsia="Times New Roman" w:hAnsi="Times New Roman" w:cs="Times New Roman"/>
      <w:sz w:val="24"/>
      <w:szCs w:val="24"/>
      <w:lang w:val="en-GB"/>
    </w:rPr>
  </w:style>
  <w:style w:type="character" w:styleId="Refdenotaalpie">
    <w:name w:val="footnote reference"/>
    <w:aliases w:val="16 Point,Superscript 6 Point,Footnote Reference Number,Footnote Reference_LVL6,Footnote Reference_LVL61,Footnote Reference_LVL62,Footnote Reference_LVL63,Footnote Reference_LVL64,Footnote symbol,Footnote s,Times 10 Point,f"/>
    <w:basedOn w:val="Fuentedeprrafopredeter"/>
    <w:link w:val="Char2"/>
    <w:uiPriority w:val="99"/>
    <w:unhideWhenUsed/>
    <w:qFormat/>
    <w:rsid w:val="007E27BA"/>
    <w:rPr>
      <w:vertAlign w:val="superscript"/>
    </w:rPr>
  </w:style>
  <w:style w:type="paragraph" w:customStyle="1" w:styleId="Char2">
    <w:name w:val="Char2"/>
    <w:basedOn w:val="Normal"/>
    <w:link w:val="Refdenotaalpie"/>
    <w:uiPriority w:val="99"/>
    <w:rsid w:val="007E27BA"/>
    <w:pPr>
      <w:spacing w:before="120" w:after="0" w:line="240" w:lineRule="exact"/>
    </w:pPr>
    <w:rPr>
      <w:sz w:val="20"/>
      <w:szCs w:val="20"/>
      <w:vertAlign w:val="superscript"/>
    </w:rPr>
  </w:style>
  <w:style w:type="character" w:styleId="Refdecomentario">
    <w:name w:val="annotation reference"/>
    <w:basedOn w:val="Fuentedeprrafopredeter"/>
    <w:uiPriority w:val="99"/>
    <w:semiHidden/>
    <w:unhideWhenUsed/>
    <w:rsid w:val="00C67622"/>
    <w:rPr>
      <w:sz w:val="16"/>
      <w:szCs w:val="16"/>
    </w:rPr>
  </w:style>
  <w:style w:type="paragraph" w:styleId="Textocomentario">
    <w:name w:val="annotation text"/>
    <w:basedOn w:val="Normal"/>
    <w:link w:val="TextocomentarioCar"/>
    <w:uiPriority w:val="99"/>
    <w:semiHidden/>
    <w:unhideWhenUsed/>
    <w:rsid w:val="00C676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7622"/>
  </w:style>
  <w:style w:type="paragraph" w:styleId="Asuntodelcomentario">
    <w:name w:val="annotation subject"/>
    <w:basedOn w:val="Textocomentario"/>
    <w:next w:val="Textocomentario"/>
    <w:link w:val="AsuntodelcomentarioCar"/>
    <w:uiPriority w:val="99"/>
    <w:semiHidden/>
    <w:unhideWhenUsed/>
    <w:rsid w:val="00C67622"/>
    <w:rPr>
      <w:b/>
      <w:bCs/>
    </w:rPr>
  </w:style>
  <w:style w:type="character" w:customStyle="1" w:styleId="AsuntodelcomentarioCar">
    <w:name w:val="Asunto del comentario Car"/>
    <w:basedOn w:val="TextocomentarioCar"/>
    <w:link w:val="Asuntodelcomentario"/>
    <w:uiPriority w:val="99"/>
    <w:semiHidden/>
    <w:rsid w:val="00C676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970</Words>
  <Characters>5335</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GRAU AV</dc:creator>
  <cp:keywords/>
  <dc:description/>
  <cp:lastModifiedBy>E GRAU AV</cp:lastModifiedBy>
  <cp:revision>3</cp:revision>
  <dcterms:created xsi:type="dcterms:W3CDTF">2022-04-13T09:58:00Z</dcterms:created>
  <dcterms:modified xsi:type="dcterms:W3CDTF">2022-04-13T17:47:00Z</dcterms:modified>
</cp:coreProperties>
</file>